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5" w:name="_GoBack"/>
      <w:bookmarkEnd w:id="5"/>
      <w:bookmarkStart w:id="0" w:name="OLE_LINK14"/>
      <w:bookmarkStart w:id="1" w:name="OLE_LINK9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1715</Words>
  <Characters>1751</Characters>
  <Lines>55</Lines>
  <Paragraphs>36</Paragraphs>
  <TotalTime>328</TotalTime>
  <ScaleCrop>false</ScaleCrop>
  <LinksUpToDate>false</LinksUpToDate>
  <CharactersWithSpaces>2169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Winter</cp:lastModifiedBy>
  <cp:lastPrinted>2026-01-12T08:51:00Z</cp:lastPrinted>
  <dcterms:modified xsi:type="dcterms:W3CDTF">2026-01-20T02:43:27Z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